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7F" w:rsidRDefault="00263301">
      <w:pPr>
        <w:rPr>
          <w:sz w:val="24"/>
          <w:szCs w:val="24"/>
        </w:rPr>
      </w:pPr>
      <w:r>
        <w:rPr>
          <w:sz w:val="24"/>
          <w:szCs w:val="24"/>
        </w:rPr>
        <w:t>ARDIFENE D. WILLIAMS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NUMBER:  541,762, “B”</w:t>
      </w:r>
    </w:p>
    <w:p w:rsidR="00263301" w:rsidRDefault="00263301">
      <w:pPr>
        <w:rPr>
          <w:sz w:val="24"/>
          <w:szCs w:val="24"/>
        </w:rPr>
      </w:pPr>
    </w:p>
    <w:p w:rsidR="00263301" w:rsidRDefault="00263301">
      <w:pPr>
        <w:rPr>
          <w:sz w:val="24"/>
          <w:szCs w:val="24"/>
        </w:rPr>
      </w:pPr>
      <w:r>
        <w:rPr>
          <w:sz w:val="24"/>
          <w:szCs w:val="24"/>
        </w:rPr>
        <w:t>VERSUS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FIRST JUDICIAL DISTRICT COURT</w:t>
      </w:r>
    </w:p>
    <w:p w:rsidR="00263301" w:rsidRDefault="00263301">
      <w:pPr>
        <w:rPr>
          <w:sz w:val="24"/>
          <w:szCs w:val="24"/>
        </w:rPr>
      </w:pPr>
    </w:p>
    <w:p w:rsidR="00263301" w:rsidRDefault="00A26682">
      <w:pPr>
        <w:rPr>
          <w:sz w:val="24"/>
          <w:szCs w:val="24"/>
        </w:rPr>
      </w:pPr>
      <w:r>
        <w:rPr>
          <w:sz w:val="24"/>
          <w:szCs w:val="24"/>
        </w:rPr>
        <w:t>RAYBURN MAHA</w:t>
      </w:r>
      <w:r w:rsidR="00263301">
        <w:rPr>
          <w:sz w:val="24"/>
          <w:szCs w:val="24"/>
        </w:rPr>
        <w:t>N, ET AL</w:t>
      </w:r>
      <w:r w:rsidR="00263301">
        <w:rPr>
          <w:sz w:val="24"/>
          <w:szCs w:val="24"/>
        </w:rPr>
        <w:tab/>
      </w:r>
      <w:r w:rsidR="00263301">
        <w:rPr>
          <w:sz w:val="24"/>
          <w:szCs w:val="24"/>
        </w:rPr>
        <w:tab/>
        <w:t>:  CADDO PARISH, LOUISIANA</w:t>
      </w:r>
    </w:p>
    <w:p w:rsidR="00263301" w:rsidRDefault="00263301">
      <w:pPr>
        <w:rPr>
          <w:sz w:val="24"/>
          <w:szCs w:val="24"/>
        </w:rPr>
      </w:pPr>
    </w:p>
    <w:p w:rsidR="00263301" w:rsidRDefault="00263301" w:rsidP="0026330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JUDGMENT ON DEFENDANTS’ MOTION FOR SUMMARY JUDGMENT</w:t>
      </w:r>
    </w:p>
    <w:p w:rsidR="00263301" w:rsidRDefault="00263301" w:rsidP="00263301">
      <w:pPr>
        <w:jc w:val="center"/>
        <w:rPr>
          <w:b/>
          <w:sz w:val="24"/>
          <w:szCs w:val="24"/>
          <w:u w:val="single"/>
        </w:rPr>
      </w:pPr>
    </w:p>
    <w:p w:rsidR="00263301" w:rsidRDefault="00263301" w:rsidP="002633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The Court has thoroughly considered the Motion for Summary Judgment</w:t>
      </w:r>
      <w:r w:rsidR="00AF1E42">
        <w:rPr>
          <w:sz w:val="24"/>
          <w:szCs w:val="24"/>
        </w:rPr>
        <w:t>,</w:t>
      </w:r>
      <w:r>
        <w:rPr>
          <w:sz w:val="24"/>
          <w:szCs w:val="24"/>
        </w:rPr>
        <w:t xml:space="preserve"> filed December 20, 2010 by defendants Rayburn Mahan and Truck Insurance Exchange, its exhibits and memoranda; the opposition by plaintiff </w:t>
      </w:r>
      <w:proofErr w:type="spellStart"/>
      <w:r>
        <w:rPr>
          <w:sz w:val="24"/>
          <w:szCs w:val="24"/>
        </w:rPr>
        <w:t>Ardifene</w:t>
      </w:r>
      <w:proofErr w:type="spellEnd"/>
      <w:r>
        <w:rPr>
          <w:sz w:val="24"/>
          <w:szCs w:val="24"/>
        </w:rPr>
        <w:t xml:space="preserve"> D. Williams, Jr.</w:t>
      </w:r>
      <w:r w:rsidR="00AF1E42">
        <w:rPr>
          <w:sz w:val="24"/>
          <w:szCs w:val="24"/>
        </w:rPr>
        <w:t>,</w:t>
      </w:r>
      <w:r w:rsidR="00AA62FB">
        <w:rPr>
          <w:sz w:val="24"/>
          <w:szCs w:val="24"/>
        </w:rPr>
        <w:t xml:space="preserve"> filed February 18, 2011</w:t>
      </w:r>
      <w:r>
        <w:rPr>
          <w:sz w:val="24"/>
          <w:szCs w:val="24"/>
        </w:rPr>
        <w:t>, its exhibits</w:t>
      </w:r>
      <w:r w:rsidR="00A26682">
        <w:rPr>
          <w:rStyle w:val="FootnoteReference"/>
          <w:sz w:val="24"/>
          <w:szCs w:val="24"/>
        </w:rPr>
        <w:footnoteReference w:id="1"/>
      </w:r>
      <w:r w:rsidR="00A26682">
        <w:rPr>
          <w:sz w:val="24"/>
          <w:szCs w:val="24"/>
        </w:rPr>
        <w:t>and memoranda;</w:t>
      </w:r>
      <w:r>
        <w:rPr>
          <w:sz w:val="24"/>
          <w:szCs w:val="24"/>
        </w:rPr>
        <w:t xml:space="preserve"> the reply memorandum filed February 2, 2011 and the supplemental letter memorandum presented March 1, 2011.  Concluding that there are no genuine issues of material fact, that plaintiff </w:t>
      </w:r>
      <w:proofErr w:type="spellStart"/>
      <w:r>
        <w:rPr>
          <w:sz w:val="24"/>
          <w:szCs w:val="24"/>
        </w:rPr>
        <w:t>Ardifene</w:t>
      </w:r>
      <w:proofErr w:type="spellEnd"/>
      <w:r>
        <w:rPr>
          <w:sz w:val="24"/>
          <w:szCs w:val="24"/>
        </w:rPr>
        <w:t xml:space="preserve"> </w:t>
      </w:r>
      <w:r w:rsidR="00AA62FB">
        <w:rPr>
          <w:sz w:val="24"/>
          <w:szCs w:val="24"/>
        </w:rPr>
        <w:t xml:space="preserve">D. </w:t>
      </w:r>
      <w:r>
        <w:rPr>
          <w:sz w:val="24"/>
          <w:szCs w:val="24"/>
        </w:rPr>
        <w:t>Williams</w:t>
      </w:r>
      <w:r w:rsidR="00AA62FB">
        <w:rPr>
          <w:sz w:val="24"/>
          <w:szCs w:val="24"/>
        </w:rPr>
        <w:t>, Jr.</w:t>
      </w:r>
      <w:r>
        <w:rPr>
          <w:sz w:val="24"/>
          <w:szCs w:val="24"/>
        </w:rPr>
        <w:t xml:space="preserve"> cannot meet his burden of proof as to </w:t>
      </w:r>
      <w:r w:rsidR="00AF1E42">
        <w:rPr>
          <w:sz w:val="24"/>
          <w:szCs w:val="24"/>
        </w:rPr>
        <w:t xml:space="preserve">establish liability of </w:t>
      </w:r>
      <w:proofErr w:type="spellStart"/>
      <w:r>
        <w:rPr>
          <w:sz w:val="24"/>
          <w:szCs w:val="24"/>
        </w:rPr>
        <w:t>Raburn</w:t>
      </w:r>
      <w:proofErr w:type="spellEnd"/>
      <w:r>
        <w:rPr>
          <w:sz w:val="24"/>
          <w:szCs w:val="24"/>
        </w:rPr>
        <w:t xml:space="preserve"> Mahan and Truck Insurance Exchange, the Court orders that the motion be granted.  Accordingly</w:t>
      </w:r>
      <w:r w:rsidR="00AA62FB">
        <w:rPr>
          <w:sz w:val="24"/>
          <w:szCs w:val="24"/>
        </w:rPr>
        <w:t>:</w:t>
      </w:r>
    </w:p>
    <w:p w:rsidR="00263301" w:rsidRPr="00A26682" w:rsidRDefault="00263301" w:rsidP="00263301">
      <w:pPr>
        <w:spacing w:line="480" w:lineRule="auto"/>
        <w:rPr>
          <w:b/>
          <w:sz w:val="24"/>
          <w:szCs w:val="24"/>
        </w:rPr>
      </w:pPr>
      <w:r w:rsidRPr="00A26682">
        <w:rPr>
          <w:b/>
          <w:sz w:val="24"/>
          <w:szCs w:val="24"/>
        </w:rPr>
        <w:tab/>
        <w:t xml:space="preserve">IT IS ORDERED, ADJUDGED AND DECREED that the Motion for Summary Judgment filed by Rayburn Mahan and Truck Insurance Exchange is granted and that the claims of </w:t>
      </w:r>
      <w:proofErr w:type="spellStart"/>
      <w:r w:rsidRPr="00A26682">
        <w:rPr>
          <w:b/>
          <w:sz w:val="24"/>
          <w:szCs w:val="24"/>
        </w:rPr>
        <w:t>Ardifene</w:t>
      </w:r>
      <w:proofErr w:type="spellEnd"/>
      <w:r w:rsidRPr="00A26682">
        <w:rPr>
          <w:b/>
          <w:sz w:val="24"/>
          <w:szCs w:val="24"/>
        </w:rPr>
        <w:t xml:space="preserve"> </w:t>
      </w:r>
      <w:r w:rsidR="00AA62FB">
        <w:rPr>
          <w:b/>
          <w:sz w:val="24"/>
          <w:szCs w:val="24"/>
        </w:rPr>
        <w:t xml:space="preserve">D. </w:t>
      </w:r>
      <w:r w:rsidRPr="00A26682">
        <w:rPr>
          <w:b/>
          <w:sz w:val="24"/>
          <w:szCs w:val="24"/>
        </w:rPr>
        <w:t>Williams</w:t>
      </w:r>
      <w:r w:rsidR="00AA62FB">
        <w:rPr>
          <w:b/>
          <w:sz w:val="24"/>
          <w:szCs w:val="24"/>
        </w:rPr>
        <w:t>, Jr.</w:t>
      </w:r>
      <w:r w:rsidRPr="00A26682">
        <w:rPr>
          <w:b/>
          <w:sz w:val="24"/>
          <w:szCs w:val="24"/>
        </w:rPr>
        <w:t xml:space="preserve"> are dismissed with prejudice, at </w:t>
      </w:r>
      <w:r w:rsidR="00AF1E42">
        <w:rPr>
          <w:b/>
          <w:sz w:val="24"/>
          <w:szCs w:val="24"/>
        </w:rPr>
        <w:t xml:space="preserve">plaintiff’s </w:t>
      </w:r>
      <w:r w:rsidRPr="00A26682">
        <w:rPr>
          <w:b/>
          <w:sz w:val="24"/>
          <w:szCs w:val="24"/>
        </w:rPr>
        <w:t>costs.</w:t>
      </w:r>
    </w:p>
    <w:p w:rsidR="00263301" w:rsidRDefault="00263301" w:rsidP="002633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Judgment rendered, read and signed this </w:t>
      </w:r>
      <w:r w:rsidR="00AF1E42">
        <w:rPr>
          <w:sz w:val="24"/>
          <w:szCs w:val="24"/>
        </w:rPr>
        <w:t>3</w:t>
      </w:r>
      <w:r w:rsidR="00AF1E42" w:rsidRPr="00AF1E42">
        <w:rPr>
          <w:sz w:val="24"/>
          <w:szCs w:val="24"/>
          <w:vertAlign w:val="superscript"/>
        </w:rPr>
        <w:t>rd</w:t>
      </w:r>
      <w:r w:rsidR="00AF1E42">
        <w:rPr>
          <w:sz w:val="24"/>
          <w:szCs w:val="24"/>
        </w:rPr>
        <w:t xml:space="preserve"> </w:t>
      </w:r>
      <w:r>
        <w:rPr>
          <w:sz w:val="24"/>
          <w:szCs w:val="24"/>
        </w:rPr>
        <w:t>day of March 2011 in Shreveport, Caddo Parish,</w:t>
      </w:r>
      <w:r w:rsidR="00A2668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Louisiana</w:t>
      </w:r>
      <w:proofErr w:type="gramEnd"/>
      <w:r>
        <w:rPr>
          <w:sz w:val="24"/>
          <w:szCs w:val="24"/>
        </w:rPr>
        <w:t>.</w:t>
      </w:r>
    </w:p>
    <w:p w:rsidR="00AF1E42" w:rsidRPr="00A26682" w:rsidRDefault="00AF1E42" w:rsidP="00AF1E42">
      <w:pPr>
        <w:rPr>
          <w:b/>
          <w:sz w:val="24"/>
          <w:szCs w:val="24"/>
        </w:rPr>
      </w:pPr>
      <w:r w:rsidRPr="00A26682">
        <w:rPr>
          <w:b/>
          <w:sz w:val="24"/>
          <w:szCs w:val="24"/>
        </w:rPr>
        <w:t>CLERK OF COURT</w:t>
      </w:r>
      <w:r>
        <w:rPr>
          <w:b/>
          <w:sz w:val="24"/>
          <w:szCs w:val="24"/>
        </w:rPr>
        <w:t xml:space="preserve">: </w:t>
      </w:r>
      <w:r w:rsidRPr="00A26682">
        <w:rPr>
          <w:b/>
          <w:sz w:val="24"/>
          <w:szCs w:val="24"/>
        </w:rPr>
        <w:t xml:space="preserve"> PLEASE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:rsidR="00AF1E42" w:rsidRPr="00A26682" w:rsidRDefault="00AF1E42" w:rsidP="00AF1E42">
      <w:pPr>
        <w:rPr>
          <w:b/>
          <w:sz w:val="24"/>
          <w:szCs w:val="24"/>
        </w:rPr>
      </w:pPr>
      <w:r w:rsidRPr="00A26682">
        <w:rPr>
          <w:b/>
          <w:sz w:val="24"/>
          <w:szCs w:val="24"/>
        </w:rPr>
        <w:t>ISSUE NOTICE OF JUDGMENT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sz w:val="24"/>
          <w:szCs w:val="24"/>
        </w:rPr>
        <w:t>SCOTT J. CRICHTON</w:t>
      </w:r>
    </w:p>
    <w:p w:rsidR="00AF1E42" w:rsidRPr="00A26682" w:rsidRDefault="00AF1E42" w:rsidP="00AF1E42">
      <w:pPr>
        <w:rPr>
          <w:b/>
          <w:sz w:val="24"/>
          <w:szCs w:val="24"/>
        </w:rPr>
      </w:pPr>
      <w:r w:rsidRPr="00A26682">
        <w:rPr>
          <w:b/>
          <w:sz w:val="24"/>
          <w:szCs w:val="24"/>
        </w:rPr>
        <w:t>IN ACCORDANCE WITH LAW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DISTRICT JUDGE</w:t>
      </w: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63301" w:rsidRDefault="00AF1E42" w:rsidP="00263301">
      <w:pPr>
        <w:rPr>
          <w:sz w:val="24"/>
          <w:szCs w:val="24"/>
        </w:rPr>
      </w:pPr>
      <w:r>
        <w:rPr>
          <w:sz w:val="24"/>
          <w:szCs w:val="24"/>
          <w:u w:val="single"/>
        </w:rPr>
        <w:t>DI</w:t>
      </w:r>
      <w:r w:rsidR="00263301">
        <w:rPr>
          <w:sz w:val="24"/>
          <w:szCs w:val="24"/>
          <w:u w:val="single"/>
        </w:rPr>
        <w:t>STRIBUTION</w:t>
      </w:r>
      <w:r w:rsidR="00263301">
        <w:rPr>
          <w:sz w:val="24"/>
          <w:szCs w:val="24"/>
        </w:rPr>
        <w:t>:</w:t>
      </w:r>
    </w:p>
    <w:p w:rsidR="00263301" w:rsidRDefault="00263301" w:rsidP="00263301">
      <w:pPr>
        <w:rPr>
          <w:sz w:val="24"/>
          <w:szCs w:val="24"/>
        </w:rPr>
      </w:pP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 xml:space="preserve">Michael A.  Thomas, Counsel for </w:t>
      </w:r>
      <w:proofErr w:type="spellStart"/>
      <w:r>
        <w:rPr>
          <w:sz w:val="24"/>
          <w:szCs w:val="24"/>
        </w:rPr>
        <w:t>Ardifene</w:t>
      </w:r>
      <w:proofErr w:type="spellEnd"/>
      <w:r>
        <w:rPr>
          <w:sz w:val="24"/>
          <w:szCs w:val="24"/>
        </w:rPr>
        <w:t xml:space="preserve"> D. Williams, Jr.</w:t>
      </w: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>Thomas and Thomas</w:t>
      </w: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>16630 Imperial Valley Drive, Suite 137</w:t>
      </w: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>Houston, TX  77060</w:t>
      </w:r>
    </w:p>
    <w:p w:rsidR="00263301" w:rsidRDefault="00263301" w:rsidP="00263301">
      <w:pPr>
        <w:rPr>
          <w:sz w:val="24"/>
          <w:szCs w:val="24"/>
        </w:rPr>
      </w:pP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>Alexander J. Mijalis</w:t>
      </w:r>
      <w:r w:rsidR="00A26682">
        <w:rPr>
          <w:sz w:val="24"/>
          <w:szCs w:val="24"/>
        </w:rPr>
        <w:t>, Counsel for Rayburn Mahan and Truck Insurance Exchange</w:t>
      </w:r>
    </w:p>
    <w:p w:rsid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>P. O. Box 1534</w:t>
      </w:r>
    </w:p>
    <w:p w:rsidR="00263301" w:rsidRPr="00263301" w:rsidRDefault="00263301" w:rsidP="00263301">
      <w:pPr>
        <w:rPr>
          <w:sz w:val="24"/>
          <w:szCs w:val="24"/>
        </w:rPr>
      </w:pPr>
      <w:r>
        <w:rPr>
          <w:sz w:val="24"/>
          <w:szCs w:val="24"/>
        </w:rPr>
        <w:t>Shreveport, LA  71165-1534</w:t>
      </w:r>
    </w:p>
    <w:sectPr w:rsidR="00263301" w:rsidRPr="00263301" w:rsidSect="0026330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58" w:rsidRDefault="00280E58" w:rsidP="00A26682">
      <w:r>
        <w:separator/>
      </w:r>
    </w:p>
  </w:endnote>
  <w:endnote w:type="continuationSeparator" w:id="0">
    <w:p w:rsidR="00280E58" w:rsidRDefault="00280E58" w:rsidP="00A2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58" w:rsidRDefault="00280E58" w:rsidP="00A26682">
      <w:r>
        <w:separator/>
      </w:r>
    </w:p>
  </w:footnote>
  <w:footnote w:type="continuationSeparator" w:id="0">
    <w:p w:rsidR="00280E58" w:rsidRDefault="00280E58" w:rsidP="00A26682">
      <w:r>
        <w:continuationSeparator/>
      </w:r>
    </w:p>
  </w:footnote>
  <w:footnote w:id="1">
    <w:p w:rsidR="00A26682" w:rsidRDefault="00A26682">
      <w:pPr>
        <w:pStyle w:val="FootnoteText"/>
      </w:pPr>
      <w:r>
        <w:rPr>
          <w:rStyle w:val="FootnoteReference"/>
        </w:rPr>
        <w:footnoteRef/>
      </w:r>
      <w:r w:rsidR="00AF1E42">
        <w:t xml:space="preserve"> Many of t</w:t>
      </w:r>
      <w:r>
        <w:t>he exhibits attached to the opposition do not constitute competent summary judgment evidence.  Specifically the hearsay statement of an unidentified person contained in an “Affidavit/Statement”, the unsworn police officer narrative, the police report, the CARFAX report, without more</w:t>
      </w:r>
      <w:r w:rsidR="00AA62FB">
        <w:t>,</w:t>
      </w:r>
      <w:r>
        <w:t xml:space="preserve"> </w:t>
      </w:r>
      <w:r w:rsidR="008962B8">
        <w:t xml:space="preserve">do </w:t>
      </w:r>
      <w:r>
        <w:t xml:space="preserve">not </w:t>
      </w:r>
      <w:r w:rsidR="008962B8">
        <w:t xml:space="preserve">constitute competent </w:t>
      </w:r>
      <w:r>
        <w:t xml:space="preserve">summary judgment evidence and certainly would not </w:t>
      </w:r>
      <w:r w:rsidR="008962B8">
        <w:t xml:space="preserve">be </w:t>
      </w:r>
      <w:r>
        <w:t>admissible evidence at trial.</w:t>
      </w:r>
      <w:r w:rsidR="00AF1E42">
        <w:t xml:space="preserve"> Plaintiff counsel has admitted that Rayburn Mahan was not the driver of the vehicle; that he cannot identify who was the driver; and he cannot satisfy his burden of proof as to the defendant’s vehicle being involved in the alleged hit and run event.  There is a total lack of competent evidence in this record to prove negligent entrustment</w:t>
      </w:r>
      <w:r w:rsidR="008962B8">
        <w:t xml:space="preserve"> or any other tort as to the named defendants</w:t>
      </w:r>
      <w:bookmarkStart w:id="0" w:name="_GoBack"/>
      <w:bookmarkEnd w:id="0"/>
      <w:r w:rsidR="00AF1E42">
        <w:t>; therefore, the motion must be granted and the case dismissed.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01"/>
    <w:rsid w:val="00263301"/>
    <w:rsid w:val="00280E58"/>
    <w:rsid w:val="006D4446"/>
    <w:rsid w:val="007A5F7F"/>
    <w:rsid w:val="008962B8"/>
    <w:rsid w:val="008C4C12"/>
    <w:rsid w:val="00A26682"/>
    <w:rsid w:val="00AA62FB"/>
    <w:rsid w:val="00AF1E42"/>
    <w:rsid w:val="00C207C8"/>
    <w:rsid w:val="00D72B14"/>
    <w:rsid w:val="00E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b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668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682"/>
    <w:rPr>
      <w:rFonts w:ascii="Times New Roman" w:hAnsi="Times New Roman" w:cs="Times New Roman"/>
      <w:b w:val="0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68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82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b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668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682"/>
    <w:rPr>
      <w:rFonts w:ascii="Times New Roman" w:hAnsi="Times New Roman" w:cs="Times New Roman"/>
      <w:b w:val="0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68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82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3EAA-6F6E-4735-BAD9-B0D32EEB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cp:lastPrinted>2011-03-03T15:44:00Z</cp:lastPrinted>
  <dcterms:created xsi:type="dcterms:W3CDTF">2011-03-01T19:19:00Z</dcterms:created>
  <dcterms:modified xsi:type="dcterms:W3CDTF">2011-03-03T15:44:00Z</dcterms:modified>
</cp:coreProperties>
</file>