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MICHAEL LANCLOS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 52</w:t>
      </w:r>
      <w:r>
        <w:rPr>
          <w:rFonts w:ascii="Times New Roman" w:hAnsi="Times New Roman" w:cs="Times New Roman"/>
          <w:sz w:val="24"/>
          <w:szCs w:val="24"/>
        </w:rPr>
        <w:t>4</w:t>
      </w:r>
      <w:r>
        <w:rPr>
          <w:rFonts w:ascii="Times New Roman" w:hAnsi="Times New Roman" w:cs="Times New Roman"/>
          <w:sz w:val="24"/>
          <w:szCs w:val="24"/>
        </w:rPr>
        <w:t>,965</w:t>
      </w:r>
      <w:r>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sz w:val="24"/>
          <w:szCs w:val="24"/>
        </w:rPr>
        <w:t>”</w:t>
      </w:r>
    </w:p>
    <w:p w:rsidR="00B25905" w:rsidRDefault="00B25905" w:rsidP="00B25905">
      <w:pPr>
        <w:spacing w:after="0" w:line="240" w:lineRule="auto"/>
        <w:rPr>
          <w:rFonts w:ascii="Times New Roman" w:hAnsi="Times New Roman" w:cs="Times New Roman"/>
          <w:sz w:val="24"/>
          <w:szCs w:val="24"/>
        </w:rPr>
      </w:pP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JUDICIAL DISTRICT COURT</w:t>
      </w:r>
    </w:p>
    <w:p w:rsidR="00B25905" w:rsidRDefault="00B25905" w:rsidP="00B25905">
      <w:pPr>
        <w:spacing w:after="0" w:line="240" w:lineRule="auto"/>
        <w:rPr>
          <w:rFonts w:ascii="Times New Roman" w:hAnsi="Times New Roman" w:cs="Times New Roman"/>
          <w:sz w:val="24"/>
          <w:szCs w:val="24"/>
        </w:rPr>
      </w:pP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HOLLY TALLEY, ET 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CADDO PARISH, LOUISIANA</w:t>
      </w:r>
    </w:p>
    <w:p w:rsidR="00B25905" w:rsidRDefault="00B25905" w:rsidP="00B25905">
      <w:pPr>
        <w:spacing w:after="0" w:line="240" w:lineRule="auto"/>
        <w:rPr>
          <w:rFonts w:ascii="Times New Roman" w:hAnsi="Times New Roman" w:cs="Times New Roman"/>
          <w:sz w:val="24"/>
          <w:szCs w:val="24"/>
        </w:rPr>
      </w:pPr>
    </w:p>
    <w:p w:rsidR="00B25905" w:rsidRDefault="00B25905" w:rsidP="00B2590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REASONS FOR JUDGMENT ON </w:t>
      </w:r>
    </w:p>
    <w:p w:rsidR="00B25905" w:rsidRDefault="00B25905" w:rsidP="00B2590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CONCURSUS ACTION</w:t>
      </w:r>
    </w:p>
    <w:p w:rsidR="00B25905" w:rsidRDefault="00B25905" w:rsidP="00B25905">
      <w:pPr>
        <w:spacing w:after="0" w:line="240" w:lineRule="auto"/>
        <w:jc w:val="center"/>
        <w:rPr>
          <w:rFonts w:ascii="Times New Roman" w:hAnsi="Times New Roman" w:cs="Times New Roman"/>
          <w:b/>
          <w:sz w:val="28"/>
          <w:szCs w:val="28"/>
          <w:u w:val="single"/>
        </w:rPr>
      </w:pP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Court has thoroughly considered the Rule to Show Cause and for </w:t>
      </w:r>
      <w:proofErr w:type="spellStart"/>
      <w:r>
        <w:rPr>
          <w:rFonts w:ascii="Times New Roman" w:hAnsi="Times New Roman" w:cs="Times New Roman"/>
          <w:sz w:val="24"/>
          <w:szCs w:val="24"/>
        </w:rPr>
        <w:t>Concursus</w:t>
      </w:r>
      <w:proofErr w:type="spellEnd"/>
      <w:r>
        <w:rPr>
          <w:rFonts w:ascii="Times New Roman" w:hAnsi="Times New Roman" w:cs="Times New Roman"/>
          <w:sz w:val="24"/>
          <w:szCs w:val="24"/>
        </w:rPr>
        <w:t xml:space="preserve"> filed by State Farm Mutual Automobile Insurance Company (“State Farm”) and Louisiana Employers Mutual Insurance Company (“LEMIC”), on December 1, 2010; the Opposition filed by Department of Children &amp; Family Services (“DCFS”), on January 21, 2011; the Memorandum filed by Michael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on January 18, 2011; the Reply to State’s Opposition filed by LEMIC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February 10, 2011; oral arguments held on March 21, 2011; the entire record and applicable law.  For reasons which follow, th</w:t>
      </w:r>
      <w:r>
        <w:rPr>
          <w:rFonts w:ascii="Times New Roman" w:hAnsi="Times New Roman" w:cs="Times New Roman"/>
          <w:sz w:val="24"/>
          <w:szCs w:val="24"/>
        </w:rPr>
        <w:t>e</w:t>
      </w:r>
      <w:r>
        <w:rPr>
          <w:rFonts w:ascii="Times New Roman" w:hAnsi="Times New Roman" w:cs="Times New Roman"/>
          <w:sz w:val="24"/>
          <w:szCs w:val="24"/>
        </w:rPr>
        <w:t xml:space="preserve"> Court concludes that Louisiana Employers Mutual Insurance Company is the proper party to receive the insurance proceeds deposited with the Court by State Farm Mutual Automobile Insurance Company, after the payment of an appropriate </w:t>
      </w:r>
      <w:r>
        <w:rPr>
          <w:rFonts w:ascii="Times New Roman" w:hAnsi="Times New Roman" w:cs="Times New Roman"/>
          <w:sz w:val="24"/>
          <w:szCs w:val="24"/>
          <w:u w:val="single"/>
        </w:rPr>
        <w:t>Moody</w:t>
      </w:r>
      <w:r>
        <w:rPr>
          <w:rFonts w:ascii="Times New Roman" w:hAnsi="Times New Roman" w:cs="Times New Roman"/>
          <w:sz w:val="24"/>
          <w:szCs w:val="24"/>
        </w:rPr>
        <w:t xml:space="preserve"> fee. </w:t>
      </w: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rPr>
        <w:tab/>
        <w:t>State Farm has admitted its liability coverage in this suit and has deposited the policy limit</w:t>
      </w:r>
      <w:r>
        <w:rPr>
          <w:rFonts w:ascii="Times New Roman" w:hAnsi="Times New Roman" w:cs="Times New Roman"/>
          <w:sz w:val="24"/>
          <w:szCs w:val="24"/>
        </w:rPr>
        <w:t>s</w:t>
      </w:r>
      <w:r>
        <w:rPr>
          <w:rFonts w:ascii="Times New Roman" w:hAnsi="Times New Roman" w:cs="Times New Roman"/>
          <w:sz w:val="24"/>
          <w:szCs w:val="24"/>
        </w:rPr>
        <w:t xml:space="preserve"> of $50,000</w:t>
      </w:r>
      <w:r>
        <w:rPr>
          <w:rFonts w:ascii="Times New Roman" w:hAnsi="Times New Roman" w:cs="Times New Roman"/>
          <w:sz w:val="24"/>
          <w:szCs w:val="24"/>
        </w:rPr>
        <w:t>.00</w:t>
      </w:r>
      <w:r>
        <w:rPr>
          <w:rFonts w:ascii="Times New Roman" w:hAnsi="Times New Roman" w:cs="Times New Roman"/>
          <w:sz w:val="24"/>
          <w:szCs w:val="24"/>
        </w:rPr>
        <w:t xml:space="preserve"> with the </w:t>
      </w:r>
      <w:r>
        <w:rPr>
          <w:rFonts w:ascii="Times New Roman" w:hAnsi="Times New Roman" w:cs="Times New Roman"/>
          <w:sz w:val="24"/>
          <w:szCs w:val="24"/>
        </w:rPr>
        <w:t xml:space="preserve">Clerk of </w:t>
      </w:r>
      <w:r>
        <w:rPr>
          <w:rFonts w:ascii="Times New Roman" w:hAnsi="Times New Roman" w:cs="Times New Roman"/>
          <w:sz w:val="24"/>
          <w:szCs w:val="24"/>
        </w:rPr>
        <w:t xml:space="preserve">Court.  Potential recipients of these funds are LEMIC, DCFS, National Lawsuit Funding, and Michael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The claims of National Lawsuit Funding and Michael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are subordinate to the claims of LEMIC and DCFS.  First, a</w:t>
      </w:r>
      <w:r>
        <w:rPr>
          <w:rFonts w:ascii="Times New Roman" w:hAnsi="Times New Roman" w:cs="Times New Roman"/>
          <w:sz w:val="24"/>
          <w:szCs w:val="24"/>
        </w:rPr>
        <w:t xml:space="preserve">n appropriate </w:t>
      </w:r>
      <w:r>
        <w:rPr>
          <w:rFonts w:ascii="Times New Roman" w:hAnsi="Times New Roman" w:cs="Times New Roman"/>
          <w:sz w:val="24"/>
          <w:szCs w:val="24"/>
          <w:u w:val="single"/>
        </w:rPr>
        <w:t>Moody</w:t>
      </w:r>
      <w:r>
        <w:rPr>
          <w:rFonts w:ascii="Times New Roman" w:hAnsi="Times New Roman" w:cs="Times New Roman"/>
          <w:sz w:val="24"/>
          <w:szCs w:val="24"/>
        </w:rPr>
        <w:t xml:space="preserve"> fee of the settlement, $933.05 having been advanced as cost, is properly owed to Stephen T. Collins and Associates, APLC and Morris Bart, LLC.  This claim is superior to any claim by LEMIC or DCFS pursuant to LSA-RS 9:5001 and 37:218.</w:t>
      </w: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LEMIC, as the worker’s compensation carrier for Port City Corporation, the employer of Michael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has paid worker’s compensation benefits totaling more than $118.316.22 to the plaintiff, Mr.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LEMIC’s right to recover these funds is not founded in subrogation, but is a separate action which gives the “employer the right to recover directly ‘any’ compensation benefits he was obligated to pay.”  </w:t>
      </w:r>
      <w:proofErr w:type="gramStart"/>
      <w:r>
        <w:rPr>
          <w:rFonts w:ascii="Times New Roman" w:hAnsi="Times New Roman" w:cs="Times New Roman"/>
          <w:sz w:val="24"/>
          <w:szCs w:val="24"/>
          <w:u w:val="single"/>
        </w:rPr>
        <w:t>Thomas v. Matthews Lumber Company of Mansfield</w:t>
      </w:r>
      <w:r>
        <w:rPr>
          <w:rFonts w:ascii="Times New Roman" w:hAnsi="Times New Roman" w:cs="Times New Roman"/>
          <w:sz w:val="24"/>
          <w:szCs w:val="24"/>
        </w:rPr>
        <w:t>, 48889 (La. 1968); 215 So.2d 832, 835.</w:t>
      </w:r>
      <w:proofErr w:type="gramEnd"/>
      <w:r>
        <w:rPr>
          <w:rFonts w:ascii="Times New Roman" w:hAnsi="Times New Roman" w:cs="Times New Roman"/>
          <w:sz w:val="24"/>
          <w:szCs w:val="24"/>
        </w:rPr>
        <w:t xml:space="preserve">  LEMIC’s right to reimbursement, therefore, is not a lien but a first dollar claim to the settlement proceeds.  The language of the Worker’s Compensation Act furthers this interpretation, stating that if the damages awarded are sufficient to reimburse the </w:t>
      </w:r>
      <w:r>
        <w:rPr>
          <w:rFonts w:ascii="Times New Roman" w:hAnsi="Times New Roman" w:cs="Times New Roman"/>
          <w:sz w:val="24"/>
          <w:szCs w:val="24"/>
        </w:rPr>
        <w:lastRenderedPageBreak/>
        <w:t xml:space="preserve">employer for what he has paid, “such damages shall be assessed solely in his favor.”  LSA-RS </w:t>
      </w:r>
      <w:proofErr w:type="gramStart"/>
      <w:r>
        <w:rPr>
          <w:rFonts w:ascii="Times New Roman" w:hAnsi="Times New Roman" w:cs="Times New Roman"/>
          <w:sz w:val="24"/>
          <w:szCs w:val="24"/>
        </w:rPr>
        <w:t>23:1103A(</w:t>
      </w:r>
      <w:proofErr w:type="gramEnd"/>
      <w:r>
        <w:rPr>
          <w:rFonts w:ascii="Times New Roman" w:hAnsi="Times New Roman" w:cs="Times New Roman"/>
          <w:sz w:val="24"/>
          <w:szCs w:val="24"/>
        </w:rPr>
        <w:t xml:space="preserve">1).  </w:t>
      </w: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DCFS Income Assignment, entered against Mr.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on July 20, 2010, “shall be satisfied out of the nonexempt portion of disposable earnings.”  This obligation is superior to any other judgment, decree or order against Mr.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However, under the Worker’s Compensation Act, the settlement </w:t>
      </w:r>
      <w:proofErr w:type="gramStart"/>
      <w:r>
        <w:rPr>
          <w:rFonts w:ascii="Times New Roman" w:hAnsi="Times New Roman" w:cs="Times New Roman"/>
          <w:sz w:val="24"/>
          <w:szCs w:val="24"/>
        </w:rPr>
        <w:t>proceeds</w:t>
      </w:r>
      <w:proofErr w:type="gramEnd"/>
      <w:r>
        <w:rPr>
          <w:rFonts w:ascii="Times New Roman" w:hAnsi="Times New Roman" w:cs="Times New Roman"/>
          <w:sz w:val="24"/>
          <w:szCs w:val="24"/>
        </w:rPr>
        <w:t xml:space="preserve"> are payable to LEMIC, not Mr. </w:t>
      </w:r>
      <w:proofErr w:type="spellStart"/>
      <w:r>
        <w:rPr>
          <w:rFonts w:ascii="Times New Roman" w:hAnsi="Times New Roman" w:cs="Times New Roman"/>
          <w:sz w:val="24"/>
          <w:szCs w:val="24"/>
        </w:rPr>
        <w:t>Lanclos</w:t>
      </w:r>
      <w:proofErr w:type="spellEnd"/>
      <w:r>
        <w:rPr>
          <w:rFonts w:ascii="Times New Roman" w:hAnsi="Times New Roman" w:cs="Times New Roman"/>
          <w:sz w:val="24"/>
          <w:szCs w:val="24"/>
        </w:rPr>
        <w:t xml:space="preserve">, and are not part of Mr. </w:t>
      </w:r>
      <w:proofErr w:type="spellStart"/>
      <w:r>
        <w:rPr>
          <w:rFonts w:ascii="Times New Roman" w:hAnsi="Times New Roman" w:cs="Times New Roman"/>
          <w:sz w:val="24"/>
          <w:szCs w:val="24"/>
        </w:rPr>
        <w:t>Lanclos’s</w:t>
      </w:r>
      <w:proofErr w:type="spellEnd"/>
      <w:r>
        <w:rPr>
          <w:rFonts w:ascii="Times New Roman" w:hAnsi="Times New Roman" w:cs="Times New Roman"/>
          <w:sz w:val="24"/>
          <w:szCs w:val="24"/>
        </w:rPr>
        <w:t xml:space="preserve"> “disposable earnings” subject to seizure by the State through DCFS.  While DCFS has a right to assert a lien, pursuant to its Income Assignment, over the employee’s portion of weekly worker’s compensation benefits, it does not have a superior claim over the settlement proceeds.  DCFS has chosen not to seek satisfaction of its Income Assignment through payment of Mr. </w:t>
      </w:r>
      <w:proofErr w:type="spellStart"/>
      <w:r>
        <w:rPr>
          <w:rFonts w:ascii="Times New Roman" w:hAnsi="Times New Roman" w:cs="Times New Roman"/>
          <w:sz w:val="24"/>
          <w:szCs w:val="24"/>
        </w:rPr>
        <w:t>Lanclos’s</w:t>
      </w:r>
      <w:proofErr w:type="spellEnd"/>
      <w:r>
        <w:rPr>
          <w:rFonts w:ascii="Times New Roman" w:hAnsi="Times New Roman" w:cs="Times New Roman"/>
          <w:sz w:val="24"/>
          <w:szCs w:val="24"/>
        </w:rPr>
        <w:t xml:space="preserve"> weekly compensation payments directly to the State.  </w:t>
      </w:r>
    </w:p>
    <w:p w:rsidR="00B25905" w:rsidRDefault="00B25905" w:rsidP="00B259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reasons assigned, the Court concludes that Louisiana Employers Mutual Insurance Company should receive the insurance proceeds deposited with the Court by State Farm Mutual Automobile Insurance Company, after the payment of an appropriate </w:t>
      </w:r>
      <w:r>
        <w:rPr>
          <w:rFonts w:ascii="Times New Roman" w:hAnsi="Times New Roman" w:cs="Times New Roman"/>
          <w:sz w:val="24"/>
          <w:szCs w:val="24"/>
          <w:u w:val="single"/>
        </w:rPr>
        <w:t>Moody</w:t>
      </w:r>
      <w:r>
        <w:rPr>
          <w:rFonts w:ascii="Times New Roman" w:hAnsi="Times New Roman" w:cs="Times New Roman"/>
          <w:sz w:val="24"/>
          <w:szCs w:val="24"/>
        </w:rPr>
        <w:t xml:space="preserve"> fee.  </w:t>
      </w: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rPr>
        <w:tab/>
        <w:t>Counsel shall submit a formal Judgment in accordance with La. Dist. Ct. R. 9.5.</w:t>
      </w:r>
    </w:p>
    <w:p w:rsidR="00B25905" w:rsidRDefault="00B25905" w:rsidP="00B259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Signed this 29</w:t>
      </w:r>
      <w:r w:rsidRPr="00B25905">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2011 in Shreveport, Caddo Parish, </w:t>
      </w:r>
      <w:proofErr w:type="gramStart"/>
      <w:r>
        <w:rPr>
          <w:rFonts w:ascii="Times New Roman" w:hAnsi="Times New Roman" w:cs="Times New Roman"/>
          <w:sz w:val="24"/>
          <w:szCs w:val="24"/>
        </w:rPr>
        <w:t>Louisiana</w:t>
      </w:r>
      <w:proofErr w:type="gramEnd"/>
      <w:r>
        <w:rPr>
          <w:rFonts w:ascii="Times New Roman" w:hAnsi="Times New Roman" w:cs="Times New Roman"/>
          <w:sz w:val="24"/>
          <w:szCs w:val="24"/>
        </w:rPr>
        <w:t>.</w:t>
      </w:r>
    </w:p>
    <w:p w:rsidR="00B25905" w:rsidRDefault="00B25905" w:rsidP="00B25905">
      <w:pPr>
        <w:spacing w:after="0" w:line="240" w:lineRule="auto"/>
        <w:rPr>
          <w:rFonts w:ascii="Times New Roman" w:hAnsi="Times New Roman" w:cs="Times New Roman"/>
          <w:sz w:val="24"/>
          <w:szCs w:val="24"/>
        </w:rPr>
      </w:pP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SCOTT J. CRICHTON</w:t>
      </w: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DISTRICT JUDGE</w:t>
      </w:r>
    </w:p>
    <w:p w:rsidR="00B25905" w:rsidRDefault="00B25905" w:rsidP="00B25905">
      <w:pPr>
        <w:spacing w:after="0" w:line="480" w:lineRule="auto"/>
        <w:rPr>
          <w:rFonts w:ascii="Times New Roman" w:hAnsi="Times New Roman" w:cs="Times New Roman"/>
          <w:sz w:val="24"/>
          <w:szCs w:val="24"/>
        </w:rPr>
      </w:pPr>
    </w:p>
    <w:p w:rsidR="00B25905" w:rsidRDefault="00B25905" w:rsidP="00B25905">
      <w:pPr>
        <w:spacing w:after="0" w:line="480" w:lineRule="auto"/>
        <w:rPr>
          <w:rFonts w:ascii="Times New Roman" w:hAnsi="Times New Roman" w:cs="Times New Roman"/>
          <w:sz w:val="24"/>
          <w:szCs w:val="24"/>
          <w:u w:val="single"/>
        </w:rPr>
      </w:pPr>
    </w:p>
    <w:p w:rsidR="00B25905" w:rsidRDefault="00B25905" w:rsidP="00B25905">
      <w:pPr>
        <w:spacing w:after="0" w:line="480" w:lineRule="auto"/>
        <w:rPr>
          <w:rFonts w:ascii="Times New Roman" w:hAnsi="Times New Roman" w:cs="Times New Roman"/>
          <w:sz w:val="24"/>
          <w:szCs w:val="24"/>
        </w:rPr>
      </w:pPr>
      <w:r>
        <w:rPr>
          <w:rFonts w:ascii="Times New Roman" w:hAnsi="Times New Roman" w:cs="Times New Roman"/>
          <w:sz w:val="24"/>
          <w:szCs w:val="24"/>
          <w:u w:val="single"/>
        </w:rPr>
        <w:t>DISTRIBUTION</w:t>
      </w:r>
      <w:r>
        <w:rPr>
          <w:rFonts w:ascii="Times New Roman" w:hAnsi="Times New Roman" w:cs="Times New Roman"/>
          <w:sz w:val="24"/>
          <w:szCs w:val="24"/>
        </w:rPr>
        <w:t>:</w:t>
      </w: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Steven Collins, counsel for Michael </w:t>
      </w:r>
      <w:proofErr w:type="spellStart"/>
      <w:r>
        <w:rPr>
          <w:rFonts w:ascii="Times New Roman" w:hAnsi="Times New Roman" w:cs="Times New Roman"/>
          <w:sz w:val="24"/>
          <w:szCs w:val="24"/>
        </w:rPr>
        <w:t>Lanclos</w:t>
      </w:r>
      <w:proofErr w:type="spellEnd"/>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Michael Tate, counsel for Department of Children &amp; Family Services</w:t>
      </w: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Jerald Perlman, counsel for Louisiana Employers Mutual Insurance Company</w:t>
      </w:r>
    </w:p>
    <w:p w:rsidR="00B25905" w:rsidRDefault="00B25905" w:rsidP="00B259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Ted </w:t>
      </w:r>
      <w:proofErr w:type="spellStart"/>
      <w:r>
        <w:rPr>
          <w:rFonts w:ascii="Times New Roman" w:hAnsi="Times New Roman" w:cs="Times New Roman"/>
          <w:sz w:val="24"/>
          <w:szCs w:val="24"/>
        </w:rPr>
        <w:t>Casten</w:t>
      </w:r>
      <w:proofErr w:type="spellEnd"/>
      <w:r>
        <w:rPr>
          <w:rFonts w:ascii="Times New Roman" w:hAnsi="Times New Roman" w:cs="Times New Roman"/>
          <w:sz w:val="24"/>
          <w:szCs w:val="24"/>
        </w:rPr>
        <w:t>, counsel for State Farm Mutual Automobile Insurance Company</w:t>
      </w:r>
    </w:p>
    <w:p w:rsidR="00B25905" w:rsidRDefault="00B25905" w:rsidP="00B25905">
      <w:pPr>
        <w:spacing w:after="0" w:line="240" w:lineRule="auto"/>
        <w:rPr>
          <w:rFonts w:ascii="Times New Roman" w:hAnsi="Times New Roman" w:cs="Times New Roman"/>
          <w:sz w:val="24"/>
          <w:szCs w:val="24"/>
        </w:rPr>
      </w:pPr>
    </w:p>
    <w:p w:rsidR="007A5F7F" w:rsidRDefault="007A5F7F">
      <w:bookmarkStart w:id="0" w:name="_GoBack"/>
      <w:bookmarkEnd w:id="0"/>
    </w:p>
    <w:sectPr w:rsidR="007A5F7F" w:rsidSect="00B25905">
      <w:footerReference w:type="default" r:id="rId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C7" w:rsidRDefault="004F13C7" w:rsidP="00B25905">
      <w:pPr>
        <w:spacing w:after="0" w:line="240" w:lineRule="auto"/>
      </w:pPr>
      <w:r>
        <w:separator/>
      </w:r>
    </w:p>
  </w:endnote>
  <w:endnote w:type="continuationSeparator" w:id="0">
    <w:p w:rsidR="004F13C7" w:rsidRDefault="004F13C7" w:rsidP="00B2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409118"/>
      <w:docPartObj>
        <w:docPartGallery w:val="Page Numbers (Bottom of Page)"/>
        <w:docPartUnique/>
      </w:docPartObj>
    </w:sdtPr>
    <w:sdtContent>
      <w:sdt>
        <w:sdtPr>
          <w:id w:val="-1669238322"/>
          <w:docPartObj>
            <w:docPartGallery w:val="Page Numbers (Top of Page)"/>
            <w:docPartUnique/>
          </w:docPartObj>
        </w:sdtPr>
        <w:sdtContent>
          <w:p w:rsidR="00B25905" w:rsidRDefault="00B259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25905" w:rsidRDefault="00B25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C7" w:rsidRDefault="004F13C7" w:rsidP="00B25905">
      <w:pPr>
        <w:spacing w:after="0" w:line="240" w:lineRule="auto"/>
      </w:pPr>
      <w:r>
        <w:separator/>
      </w:r>
    </w:p>
  </w:footnote>
  <w:footnote w:type="continuationSeparator" w:id="0">
    <w:p w:rsidR="004F13C7" w:rsidRDefault="004F13C7" w:rsidP="00B25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05"/>
    <w:rsid w:val="004F13C7"/>
    <w:rsid w:val="007A5F7F"/>
    <w:rsid w:val="00B25905"/>
    <w:rsid w:val="00C207C8"/>
    <w:rsid w:val="00D7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05"/>
    <w:pPr>
      <w:spacing w:after="200" w:line="276" w:lineRule="auto"/>
    </w:pPr>
    <w:rPr>
      <w:rFonts w:asciiTheme="minorHAnsi" w:eastAsiaTheme="minorEastAsia"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05"/>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B2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05"/>
    <w:rPr>
      <w:rFonts w:asciiTheme="minorHAnsi" w:eastAsiaTheme="minorEastAsia" w:hAnsiTheme="minorHAnsi" w:cstheme="minorBidi"/>
      <w:b w:val="0"/>
      <w:sz w:val="22"/>
      <w:szCs w:val="22"/>
    </w:rPr>
  </w:style>
  <w:style w:type="paragraph" w:styleId="BalloonText">
    <w:name w:val="Balloon Text"/>
    <w:basedOn w:val="Normal"/>
    <w:link w:val="BalloonTextChar"/>
    <w:uiPriority w:val="99"/>
    <w:semiHidden/>
    <w:unhideWhenUsed/>
    <w:rsid w:val="00B2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05"/>
    <w:rPr>
      <w:rFonts w:ascii="Tahoma" w:eastAsiaTheme="minorEastAsia"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05"/>
    <w:pPr>
      <w:spacing w:after="200" w:line="276" w:lineRule="auto"/>
    </w:pPr>
    <w:rPr>
      <w:rFonts w:asciiTheme="minorHAnsi" w:eastAsiaTheme="minorEastAsia"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05"/>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B2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05"/>
    <w:rPr>
      <w:rFonts w:asciiTheme="minorHAnsi" w:eastAsiaTheme="minorEastAsia" w:hAnsiTheme="minorHAnsi" w:cstheme="minorBidi"/>
      <w:b w:val="0"/>
      <w:sz w:val="22"/>
      <w:szCs w:val="22"/>
    </w:rPr>
  </w:style>
  <w:style w:type="paragraph" w:styleId="BalloonText">
    <w:name w:val="Balloon Text"/>
    <w:basedOn w:val="Normal"/>
    <w:link w:val="BalloonTextChar"/>
    <w:uiPriority w:val="99"/>
    <w:semiHidden/>
    <w:unhideWhenUsed/>
    <w:rsid w:val="00B2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05"/>
    <w:rPr>
      <w:rFonts w:ascii="Tahoma" w:eastAsiaTheme="minorEastAsia"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cp:lastPrinted>2011-03-29T19:17:00Z</cp:lastPrinted>
  <dcterms:created xsi:type="dcterms:W3CDTF">2011-03-29T19:12:00Z</dcterms:created>
  <dcterms:modified xsi:type="dcterms:W3CDTF">2011-03-29T19:17:00Z</dcterms:modified>
</cp:coreProperties>
</file>