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DD" w:rsidRDefault="000E06DD" w:rsidP="000E06DD">
      <w:r>
        <w:t xml:space="preserve">SUSAN KATHERINE </w:t>
      </w:r>
      <w:proofErr w:type="gramStart"/>
      <w:r>
        <w:t>SHAVIN,</w:t>
      </w:r>
      <w:r>
        <w:tab/>
      </w:r>
      <w:r>
        <w:tab/>
      </w:r>
      <w:r>
        <w:tab/>
        <w:t>:</w:t>
      </w:r>
      <w:proofErr w:type="gramEnd"/>
      <w:r>
        <w:t xml:space="preserve">  NUMBER:  524,540</w:t>
      </w:r>
    </w:p>
    <w:p w:rsidR="000E06DD" w:rsidRDefault="000E06DD" w:rsidP="000E06DD">
      <w:r>
        <w:t>ROBIN PHILLIP SHAVIN,</w:t>
      </w:r>
    </w:p>
    <w:p w:rsidR="000E06DD" w:rsidRDefault="000E06DD" w:rsidP="000E06DD">
      <w:r>
        <w:t>WALTER EDWARD LIEBER,</w:t>
      </w:r>
    </w:p>
    <w:p w:rsidR="000E06DD" w:rsidRDefault="000E06DD" w:rsidP="000E06DD">
      <w:r>
        <w:t>CAROLYN L. CASS, RENEE LIEBER,</w:t>
      </w:r>
    </w:p>
    <w:p w:rsidR="000E06DD" w:rsidRDefault="000E06DD" w:rsidP="000E06DD">
      <w:r>
        <w:t>LEAH EVE L. HARRELL, EMILY</w:t>
      </w:r>
    </w:p>
    <w:p w:rsidR="000E06DD" w:rsidRDefault="000E06DD" w:rsidP="000E06DD">
      <w:r>
        <w:t>L.  GILMAN AND GARY L. FOX</w:t>
      </w:r>
    </w:p>
    <w:p w:rsidR="000E06DD" w:rsidRDefault="000E06DD" w:rsidP="000E06DD"/>
    <w:p w:rsidR="000E06DD" w:rsidRDefault="000E06DD" w:rsidP="000E06DD">
      <w:r>
        <w:t>VERSUS</w:t>
      </w:r>
      <w:r>
        <w:tab/>
      </w:r>
      <w:r>
        <w:tab/>
      </w:r>
      <w:r>
        <w:tab/>
      </w:r>
      <w:r>
        <w:tab/>
      </w:r>
      <w:r>
        <w:tab/>
      </w:r>
      <w:r>
        <w:tab/>
        <w:t>:  FIRST JUDICIAL DISTRICT COURT</w:t>
      </w:r>
    </w:p>
    <w:p w:rsidR="000E06DD" w:rsidRDefault="000E06DD" w:rsidP="000E06DD"/>
    <w:p w:rsidR="000E06DD" w:rsidRDefault="000E06DD" w:rsidP="000E06DD">
      <w:r>
        <w:t>GERALD H. HUDDLESTON, GLEN</w:t>
      </w:r>
    </w:p>
    <w:p w:rsidR="000E06DD" w:rsidRDefault="000E06DD" w:rsidP="000E06DD">
      <w:r>
        <w:t>CUMMER, ROBSON FARMS, L.L.C.,</w:t>
      </w:r>
    </w:p>
    <w:p w:rsidR="000E06DD" w:rsidRDefault="000E06DD" w:rsidP="000E06DD">
      <w:r>
        <w:t>CAMTERRA RESOURCES PARTNERS,</w:t>
      </w:r>
    </w:p>
    <w:p w:rsidR="000E06DD" w:rsidRDefault="000E06DD" w:rsidP="000E06DD">
      <w:r>
        <w:t>LTD., HUDDLESTON ENERGY</w:t>
      </w:r>
    </w:p>
    <w:p w:rsidR="000E06DD" w:rsidRDefault="000E06DD" w:rsidP="000E06DD">
      <w:r>
        <w:t>RESERVES, LLC, SNJ ENERGY, LLC,</w:t>
      </w:r>
    </w:p>
    <w:p w:rsidR="000E06DD" w:rsidRDefault="000E06DD" w:rsidP="000E06DD">
      <w:r>
        <w:t>ISRAEL INVESTMENTS, LLC AND</w:t>
      </w:r>
    </w:p>
    <w:p w:rsidR="000E06DD" w:rsidRDefault="000E06DD" w:rsidP="000E06DD">
      <w:r>
        <w:t>CSC ENERGY CORP.</w:t>
      </w:r>
      <w:r>
        <w:tab/>
      </w:r>
      <w:r>
        <w:tab/>
      </w:r>
      <w:r>
        <w:tab/>
      </w:r>
      <w:r>
        <w:tab/>
        <w:t>:  CADDO PARISH, LOUISIANA</w:t>
      </w:r>
    </w:p>
    <w:p w:rsidR="000E06DD" w:rsidRDefault="000E06DD" w:rsidP="000E06DD"/>
    <w:p w:rsidR="006E1D05" w:rsidRDefault="006E1D05" w:rsidP="000E06DD">
      <w:pPr>
        <w:jc w:val="center"/>
        <w:rPr>
          <w:b/>
          <w:sz w:val="28"/>
          <w:szCs w:val="28"/>
          <w:u w:val="single"/>
        </w:rPr>
      </w:pPr>
      <w:r>
        <w:rPr>
          <w:b/>
          <w:sz w:val="28"/>
          <w:szCs w:val="28"/>
          <w:u w:val="single"/>
        </w:rPr>
        <w:t xml:space="preserve">REASONS FOR </w:t>
      </w:r>
      <w:r w:rsidR="000E06DD" w:rsidRPr="00C86FD0">
        <w:rPr>
          <w:b/>
          <w:sz w:val="28"/>
          <w:szCs w:val="28"/>
          <w:u w:val="single"/>
        </w:rPr>
        <w:t xml:space="preserve">JUDGMENT </w:t>
      </w:r>
      <w:r w:rsidR="00041AFD">
        <w:rPr>
          <w:b/>
          <w:sz w:val="28"/>
          <w:szCs w:val="28"/>
          <w:u w:val="single"/>
        </w:rPr>
        <w:t xml:space="preserve">ON </w:t>
      </w:r>
      <w:r>
        <w:rPr>
          <w:b/>
          <w:sz w:val="28"/>
          <w:szCs w:val="28"/>
          <w:u w:val="single"/>
        </w:rPr>
        <w:t xml:space="preserve">DENIAL OF DEFENDANTS’ </w:t>
      </w:r>
    </w:p>
    <w:p w:rsidR="006E1D05" w:rsidRDefault="000E06DD" w:rsidP="00DE7B10">
      <w:pPr>
        <w:jc w:val="center"/>
        <w:rPr>
          <w:b/>
          <w:sz w:val="28"/>
          <w:szCs w:val="28"/>
          <w:u w:val="single"/>
        </w:rPr>
      </w:pPr>
      <w:r w:rsidRPr="00C86FD0">
        <w:rPr>
          <w:b/>
          <w:sz w:val="28"/>
          <w:szCs w:val="28"/>
          <w:u w:val="single"/>
        </w:rPr>
        <w:t>MOTION</w:t>
      </w:r>
      <w:r w:rsidR="006E1D05">
        <w:rPr>
          <w:b/>
          <w:sz w:val="28"/>
          <w:szCs w:val="28"/>
          <w:u w:val="single"/>
        </w:rPr>
        <w:t>S</w:t>
      </w:r>
      <w:r w:rsidRPr="00C86FD0">
        <w:rPr>
          <w:b/>
          <w:sz w:val="28"/>
          <w:szCs w:val="28"/>
          <w:u w:val="single"/>
        </w:rPr>
        <w:t xml:space="preserve"> </w:t>
      </w:r>
      <w:r w:rsidR="00041AFD">
        <w:rPr>
          <w:b/>
          <w:sz w:val="28"/>
          <w:szCs w:val="28"/>
          <w:u w:val="single"/>
        </w:rPr>
        <w:t>FOR SUMMARY JUDGMENT</w:t>
      </w:r>
    </w:p>
    <w:p w:rsidR="00DE7B10" w:rsidRDefault="00DE7B10" w:rsidP="00DE7B10">
      <w:pPr>
        <w:jc w:val="center"/>
      </w:pPr>
    </w:p>
    <w:p w:rsidR="004971C1" w:rsidRDefault="000C2BC6" w:rsidP="000E06DD">
      <w:pPr>
        <w:spacing w:line="480" w:lineRule="auto"/>
      </w:pPr>
      <w:r>
        <w:tab/>
        <w:t>In its extensive review of the summary judgment record,  the Court focuses on the following facts</w:t>
      </w:r>
      <w:r w:rsidR="004971C1">
        <w:t xml:space="preserve"> and/or allegations</w:t>
      </w:r>
      <w:r w:rsidR="00AE60B6">
        <w:t>, most of which are not in dispute</w:t>
      </w:r>
      <w:r>
        <w:t xml:space="preserve">:  (1)  that in 1999 the plaintiffs entered into an oil, gas and mineral lease with Gerald Huddleston; (2) that Huddleston thereafter assigned all subsurface rights below 3000 feet to </w:t>
      </w:r>
      <w:proofErr w:type="spellStart"/>
      <w:r>
        <w:t>Camterra</w:t>
      </w:r>
      <w:proofErr w:type="spellEnd"/>
      <w:r>
        <w:t xml:space="preserve"> </w:t>
      </w:r>
      <w:proofErr w:type="spellStart"/>
      <w:r>
        <w:t>Resrouces</w:t>
      </w:r>
      <w:proofErr w:type="spellEnd"/>
      <w:r>
        <w:t xml:space="preserve">, Ltd., retaining the subsurface rights  above 3000 feet; (3) that Huddleston, </w:t>
      </w:r>
      <w:proofErr w:type="spellStart"/>
      <w:r>
        <w:t>Camterra</w:t>
      </w:r>
      <w:proofErr w:type="spellEnd"/>
      <w:r>
        <w:t xml:space="preserve"> and other defendants obtained projections </w:t>
      </w:r>
      <w:r w:rsidR="00AE60B6">
        <w:t xml:space="preserve">from an offering memorandum and/or </w:t>
      </w:r>
      <w:r>
        <w:t>other sources</w:t>
      </w:r>
      <w:r w:rsidR="004971C1">
        <w:t xml:space="preserve"> but</w:t>
      </w:r>
      <w:r>
        <w:t xml:space="preserve"> never disclosed to the mineral lessors </w:t>
      </w:r>
      <w:r w:rsidR="004971C1">
        <w:t>those projections;</w:t>
      </w:r>
      <w:r>
        <w:t xml:space="preserve"> (4) that </w:t>
      </w:r>
      <w:r w:rsidR="004971C1">
        <w:t xml:space="preserve">subsequent to </w:t>
      </w:r>
      <w:r>
        <w:t xml:space="preserve">a couple of </w:t>
      </w:r>
      <w:r w:rsidR="004971C1">
        <w:t xml:space="preserve">relatively </w:t>
      </w:r>
      <w:r>
        <w:t xml:space="preserve">low offers from Huddleston, a sale of </w:t>
      </w:r>
      <w:r w:rsidR="004971C1">
        <w:t>both the surface and minerals was</w:t>
      </w:r>
      <w:r>
        <w:t xml:space="preserve"> confected; (5) that Huddleston indicated to plaintiffs</w:t>
      </w:r>
      <w:r w:rsidR="00AE60B6">
        <w:t xml:space="preserve"> (</w:t>
      </w:r>
      <w:r>
        <w:t xml:space="preserve">his and </w:t>
      </w:r>
      <w:proofErr w:type="spellStart"/>
      <w:r>
        <w:t>Camterra’s</w:t>
      </w:r>
      <w:proofErr w:type="spellEnd"/>
      <w:r>
        <w:t xml:space="preserve"> mineral lessors</w:t>
      </w:r>
      <w:r w:rsidR="00AE60B6">
        <w:t>)</w:t>
      </w:r>
      <w:r>
        <w:t xml:space="preserve"> that he anticipated an agricultural venture for the property and thus formed Robson Farms, L.L.C. for the purpose of purchasing the property when in fact the L.L.C. had multiple members with </w:t>
      </w:r>
      <w:r w:rsidR="004971C1">
        <w:t xml:space="preserve">the </w:t>
      </w:r>
      <w:r>
        <w:t xml:space="preserve">single objective of oil and gas production.  </w:t>
      </w:r>
    </w:p>
    <w:p w:rsidR="006E1D05" w:rsidRDefault="000C2BC6" w:rsidP="004971C1">
      <w:pPr>
        <w:spacing w:line="480" w:lineRule="auto"/>
        <w:ind w:firstLine="720"/>
      </w:pPr>
      <w:r>
        <w:t>While the circumstances are much more extensive tha</w:t>
      </w:r>
      <w:r w:rsidR="00DE7B10">
        <w:t>n</w:t>
      </w:r>
      <w:r>
        <w:t xml:space="preserve"> the core </w:t>
      </w:r>
      <w:r w:rsidR="00AE60B6">
        <w:t xml:space="preserve">items </w:t>
      </w:r>
      <w:r>
        <w:t xml:space="preserve">listed above, the crucial fact is that prior to </w:t>
      </w:r>
      <w:r w:rsidR="004971C1">
        <w:t>and during the purchase of</w:t>
      </w:r>
      <w:r>
        <w:t xml:space="preserve"> plaintiffs’ property, Huddleston and the two </w:t>
      </w:r>
      <w:proofErr w:type="spellStart"/>
      <w:r>
        <w:t>Camterra</w:t>
      </w:r>
      <w:proofErr w:type="spellEnd"/>
      <w:r>
        <w:t xml:space="preserve"> entities were mineral lessees of the plaintiffs.  Article 122 of the Mine</w:t>
      </w:r>
      <w:r w:rsidR="004971C1">
        <w:t>ral Code requires mineral lessees</w:t>
      </w:r>
      <w:r>
        <w:t xml:space="preserve"> to perform the implied and express lease obligations in good faith and to develop the property for the mutual benefit of both</w:t>
      </w:r>
      <w:r w:rsidR="004971C1">
        <w:t xml:space="preserve"> the owner/lessor and the lessee</w:t>
      </w:r>
      <w:r>
        <w:t xml:space="preserve">.  There is clearly a duty </w:t>
      </w:r>
      <w:r w:rsidR="004971C1">
        <w:t xml:space="preserve">of good faith </w:t>
      </w:r>
      <w:r>
        <w:t xml:space="preserve">imposed by Article 122 and there are genuine issues of material fact </w:t>
      </w:r>
      <w:r>
        <w:lastRenderedPageBreak/>
        <w:t>bearing upon whether the defendants, under the unique and peculiar circumstances of this case, performed the implied and express lease obligations in good faith and sought to develop the plaintiffs</w:t>
      </w:r>
      <w:r w:rsidR="00DE7B10">
        <w:t>’</w:t>
      </w:r>
      <w:r>
        <w:t xml:space="preserve"> mineral interest for both the plaintiff lessors and defendant lessees.</w:t>
      </w:r>
    </w:p>
    <w:p w:rsidR="00DE7B10" w:rsidRDefault="000C2BC6" w:rsidP="004971C1">
      <w:pPr>
        <w:spacing w:line="480" w:lineRule="auto"/>
      </w:pPr>
      <w:r>
        <w:tab/>
        <w:t xml:space="preserve">This is a vigorously contested case and many factual issues are in dispute.  Whether the defendants were in good faith in </w:t>
      </w:r>
      <w:r w:rsidR="004971C1">
        <w:t xml:space="preserve">their relations with plaintiffs, whether the plaintiffs are truthful or </w:t>
      </w:r>
      <w:proofErr w:type="gramStart"/>
      <w:r w:rsidR="004971C1">
        <w:t>not,</w:t>
      </w:r>
      <w:proofErr w:type="gramEnd"/>
      <w:r w:rsidR="004971C1">
        <w:t xml:space="preserve"> </w:t>
      </w:r>
      <w:r w:rsidR="00AE60B6">
        <w:t xml:space="preserve">and </w:t>
      </w:r>
      <w:r w:rsidR="004971C1">
        <w:t>whether the defendants are truthful or not</w:t>
      </w:r>
      <w:r w:rsidR="00AE60B6">
        <w:t>,</w:t>
      </w:r>
      <w:r w:rsidR="004971C1">
        <w:t xml:space="preserve"> </w:t>
      </w:r>
      <w:r>
        <w:t>are all factual issues to be determined by the jury.  In fact, where credibility is at issue on relevant and material evidence, summary judgment is absolutely not appropriate</w:t>
      </w:r>
      <w:r w:rsidR="004971C1">
        <w:rPr>
          <w:rStyle w:val="FootnoteReference"/>
        </w:rPr>
        <w:footnoteReference w:id="1"/>
      </w:r>
      <w:r>
        <w:t>.</w:t>
      </w:r>
      <w:r w:rsidR="004971C1">
        <w:t xml:space="preserve">  </w:t>
      </w:r>
      <w:r w:rsidR="004971C1" w:rsidRPr="004971C1">
        <w:t>For the assigned reasons both motions are denied</w:t>
      </w:r>
      <w:r w:rsidR="004971C1">
        <w:t>.</w:t>
      </w:r>
    </w:p>
    <w:p w:rsidR="000E06DD" w:rsidRDefault="000E06DD" w:rsidP="004971C1">
      <w:pPr>
        <w:spacing w:line="480" w:lineRule="auto"/>
      </w:pPr>
      <w:r>
        <w:tab/>
        <w:t xml:space="preserve">Signed this </w:t>
      </w:r>
      <w:r w:rsidR="00D41F55">
        <w:t>31</w:t>
      </w:r>
      <w:r w:rsidR="00D41F55" w:rsidRPr="00D41F55">
        <w:rPr>
          <w:vertAlign w:val="superscript"/>
        </w:rPr>
        <w:t>st</w:t>
      </w:r>
      <w:r w:rsidR="00D41F55">
        <w:t xml:space="preserve"> </w:t>
      </w:r>
      <w:r>
        <w:t>day of</w:t>
      </w:r>
      <w:r w:rsidR="00D41F55">
        <w:t xml:space="preserve"> January, 2012</w:t>
      </w:r>
      <w:r>
        <w:t xml:space="preserve"> in Shreveport, Caddo Parish, </w:t>
      </w:r>
      <w:proofErr w:type="gramStart"/>
      <w:r>
        <w:t>Louisiana</w:t>
      </w:r>
      <w:proofErr w:type="gramEnd"/>
      <w:r>
        <w:t>.</w:t>
      </w:r>
    </w:p>
    <w:p w:rsidR="000E06DD" w:rsidRDefault="000E06DD" w:rsidP="000E06DD"/>
    <w:p w:rsidR="000E06DD" w:rsidRDefault="000E06DD" w:rsidP="000E06DD">
      <w:r>
        <w:tab/>
      </w:r>
      <w:r>
        <w:tab/>
      </w:r>
      <w:r>
        <w:tab/>
      </w:r>
      <w:r>
        <w:tab/>
      </w:r>
      <w:r>
        <w:tab/>
      </w:r>
      <w:r>
        <w:tab/>
      </w:r>
      <w:r>
        <w:tab/>
      </w:r>
      <w:r>
        <w:tab/>
        <w:t>___________________________</w:t>
      </w:r>
    </w:p>
    <w:p w:rsidR="000E06DD" w:rsidRPr="00133D46" w:rsidRDefault="000E06DD" w:rsidP="000E06DD">
      <w:r>
        <w:tab/>
      </w:r>
      <w:r>
        <w:tab/>
      </w:r>
      <w:r>
        <w:tab/>
      </w:r>
      <w:r>
        <w:tab/>
      </w:r>
      <w:r>
        <w:tab/>
      </w:r>
      <w:r>
        <w:tab/>
      </w:r>
      <w:r>
        <w:tab/>
      </w:r>
      <w:r>
        <w:tab/>
        <w:t xml:space="preserve">      SC</w:t>
      </w:r>
      <w:r w:rsidR="00DE7B10">
        <w:t>O</w:t>
      </w:r>
      <w:r>
        <w:t>TT J. CRICHTON</w:t>
      </w:r>
    </w:p>
    <w:p w:rsidR="000E06DD" w:rsidRDefault="000E06DD" w:rsidP="000E06DD">
      <w:pPr>
        <w:spacing w:line="480" w:lineRule="auto"/>
      </w:pPr>
      <w:r>
        <w:tab/>
      </w:r>
      <w:r>
        <w:tab/>
      </w:r>
      <w:r>
        <w:tab/>
      </w:r>
      <w:r>
        <w:tab/>
      </w:r>
      <w:r>
        <w:tab/>
      </w:r>
      <w:r>
        <w:tab/>
      </w:r>
      <w:r>
        <w:tab/>
        <w:t xml:space="preserve"> </w:t>
      </w:r>
      <w:r>
        <w:tab/>
        <w:t xml:space="preserve">         DISTRICT JUDGE</w:t>
      </w:r>
    </w:p>
    <w:p w:rsidR="00D41F55" w:rsidRDefault="00D41F55" w:rsidP="000E06DD">
      <w:pPr>
        <w:spacing w:line="480" w:lineRule="auto"/>
      </w:pPr>
    </w:p>
    <w:p w:rsidR="000E06DD" w:rsidRDefault="000E06DD" w:rsidP="000E06DD">
      <w:pPr>
        <w:spacing w:line="480" w:lineRule="auto"/>
      </w:pPr>
      <w:r>
        <w:rPr>
          <w:u w:val="single"/>
        </w:rPr>
        <w:t>DISTRIBUTION</w:t>
      </w:r>
      <w:r>
        <w:t>:</w:t>
      </w:r>
    </w:p>
    <w:p w:rsidR="004971C1" w:rsidRDefault="004971C1" w:rsidP="004971C1">
      <w:r>
        <w:t>Lee H. Ayres and Jason W. Poe, Counsel for Leah Eve L. Ha</w:t>
      </w:r>
      <w:r w:rsidR="00AE60B6">
        <w:t xml:space="preserve">rrell, Emily L. Gilman an Renee </w:t>
      </w:r>
      <w:bookmarkStart w:id="0" w:name="_GoBack"/>
      <w:bookmarkEnd w:id="0"/>
      <w:proofErr w:type="spellStart"/>
      <w:r>
        <w:t>Lieber</w:t>
      </w:r>
      <w:proofErr w:type="spellEnd"/>
    </w:p>
    <w:p w:rsidR="004971C1" w:rsidRDefault="004971C1" w:rsidP="004971C1">
      <w:proofErr w:type="spellStart"/>
      <w:r>
        <w:t>Eron</w:t>
      </w:r>
      <w:proofErr w:type="spellEnd"/>
      <w:r>
        <w:t xml:space="preserve"> J. </w:t>
      </w:r>
      <w:proofErr w:type="spellStart"/>
      <w:r>
        <w:t>Brainard</w:t>
      </w:r>
      <w:proofErr w:type="spellEnd"/>
      <w:r>
        <w:t xml:space="preserve"> and Steven E. </w:t>
      </w:r>
      <w:proofErr w:type="spellStart"/>
      <w:r>
        <w:t>Soileau</w:t>
      </w:r>
      <w:proofErr w:type="spellEnd"/>
      <w:r>
        <w:t xml:space="preserve">, Counsel for Susan Katherine </w:t>
      </w:r>
      <w:proofErr w:type="spellStart"/>
      <w:r>
        <w:t>Shavin</w:t>
      </w:r>
      <w:proofErr w:type="spellEnd"/>
      <w:r>
        <w:t xml:space="preserve">, Robin Phillip </w:t>
      </w:r>
      <w:proofErr w:type="spellStart"/>
      <w:r>
        <w:t>Shavin</w:t>
      </w:r>
      <w:proofErr w:type="spellEnd"/>
      <w:r>
        <w:t xml:space="preserve">, Walter Edward </w:t>
      </w:r>
      <w:proofErr w:type="spellStart"/>
      <w:r>
        <w:t>Lieber</w:t>
      </w:r>
      <w:proofErr w:type="spellEnd"/>
      <w:r>
        <w:t>, Carolyn L. Cass and Gary L. Fox</w:t>
      </w:r>
    </w:p>
    <w:p w:rsidR="004971C1" w:rsidRPr="00F92041" w:rsidRDefault="004971C1" w:rsidP="004971C1">
      <w:r>
        <w:t xml:space="preserve">Glenn L. Langley, </w:t>
      </w:r>
      <w:proofErr w:type="spellStart"/>
      <w:r>
        <w:t>Julianna</w:t>
      </w:r>
      <w:proofErr w:type="spellEnd"/>
      <w:r>
        <w:t xml:space="preserve"> P. Parks and Megan L. Streetman, Counsel for Gerald H. Huddleston, Robson Farms, L.L.C., </w:t>
      </w:r>
      <w:proofErr w:type="spellStart"/>
      <w:r>
        <w:t>Camterra</w:t>
      </w:r>
      <w:proofErr w:type="spellEnd"/>
      <w:r>
        <w:t xml:space="preserve"> Resources Partners, LTD, </w:t>
      </w:r>
      <w:proofErr w:type="spellStart"/>
      <w:r>
        <w:t>Camterra</w:t>
      </w:r>
      <w:proofErr w:type="spellEnd"/>
      <w:r>
        <w:t xml:space="preserve"> Resources, Inc., Huddleston Oil and Gas, LLC, Huddleston Energy Reserves, LLC, SNJ Energy, LLC, Israel Investments, LLC and CSC Energy Corp.</w:t>
      </w:r>
    </w:p>
    <w:p w:rsidR="000E06DD" w:rsidRPr="00C86FD0" w:rsidRDefault="000E06DD" w:rsidP="000E06DD">
      <w:pPr>
        <w:rPr>
          <w:sz w:val="28"/>
          <w:szCs w:val="28"/>
          <w:u w:val="single"/>
        </w:rPr>
      </w:pPr>
    </w:p>
    <w:p w:rsidR="007A5F7F" w:rsidRDefault="007A5F7F"/>
    <w:sectPr w:rsidR="007A5F7F" w:rsidSect="00C86FD0">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16" w:rsidRDefault="00BB0816" w:rsidP="000E06DD">
      <w:r>
        <w:separator/>
      </w:r>
    </w:p>
  </w:endnote>
  <w:endnote w:type="continuationSeparator" w:id="0">
    <w:p w:rsidR="00BB0816" w:rsidRDefault="00BB0816" w:rsidP="000E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09389"/>
      <w:docPartObj>
        <w:docPartGallery w:val="Page Numbers (Bottom of Page)"/>
        <w:docPartUnique/>
      </w:docPartObj>
    </w:sdtPr>
    <w:sdtEndPr>
      <w:rPr>
        <w:noProof/>
      </w:rPr>
    </w:sdtEndPr>
    <w:sdtContent>
      <w:p w:rsidR="001B2051" w:rsidRDefault="00120D5E">
        <w:pPr>
          <w:pStyle w:val="Footer"/>
          <w:jc w:val="center"/>
          <w:rPr>
            <w:noProof/>
          </w:rPr>
        </w:pPr>
        <w:r>
          <w:t xml:space="preserve">Page </w:t>
        </w:r>
        <w:r>
          <w:fldChar w:fldCharType="begin"/>
        </w:r>
        <w:r>
          <w:instrText xml:space="preserve"> PAGE   \* MERGEFORMAT </w:instrText>
        </w:r>
        <w:r>
          <w:fldChar w:fldCharType="separate"/>
        </w:r>
        <w:r w:rsidR="00AE60B6">
          <w:rPr>
            <w:noProof/>
          </w:rPr>
          <w:t>2</w:t>
        </w:r>
        <w:r>
          <w:rPr>
            <w:noProof/>
          </w:rPr>
          <w:fldChar w:fldCharType="end"/>
        </w:r>
        <w:r>
          <w:rPr>
            <w:noProof/>
          </w:rPr>
          <w:t xml:space="preserve"> of 2 Pages</w:t>
        </w:r>
      </w:p>
      <w:p w:rsidR="001B2051" w:rsidRDefault="00BB0816">
        <w:pPr>
          <w:pStyle w:val="Footer"/>
          <w:jc w:val="center"/>
        </w:pPr>
      </w:p>
    </w:sdtContent>
  </w:sdt>
  <w:p w:rsidR="001B2051" w:rsidRDefault="00BB0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16" w:rsidRDefault="00BB0816" w:rsidP="000E06DD">
      <w:r>
        <w:separator/>
      </w:r>
    </w:p>
  </w:footnote>
  <w:footnote w:type="continuationSeparator" w:id="0">
    <w:p w:rsidR="00BB0816" w:rsidRDefault="00BB0816" w:rsidP="000E06DD">
      <w:r>
        <w:continuationSeparator/>
      </w:r>
    </w:p>
  </w:footnote>
  <w:footnote w:id="1">
    <w:p w:rsidR="004971C1" w:rsidRPr="004971C1" w:rsidRDefault="004971C1" w:rsidP="004971C1">
      <w:pPr>
        <w:rPr>
          <w:sz w:val="20"/>
          <w:szCs w:val="20"/>
        </w:rPr>
      </w:pPr>
      <w:r>
        <w:rPr>
          <w:rStyle w:val="FootnoteReference"/>
        </w:rPr>
        <w:footnoteRef/>
      </w:r>
      <w:r>
        <w:t xml:space="preserve"> </w:t>
      </w:r>
      <w:r w:rsidRPr="004971C1">
        <w:rPr>
          <w:sz w:val="20"/>
          <w:szCs w:val="20"/>
        </w:rPr>
        <w:t>It should be emphasized that this Court believes that Article 122 of the Mineral Code imposes a duty of good faith on the mineral lessee as well as an obligation to develop the leas</w:t>
      </w:r>
      <w:r w:rsidR="00AE60B6">
        <w:rPr>
          <w:sz w:val="20"/>
          <w:szCs w:val="20"/>
        </w:rPr>
        <w:t>ed</w:t>
      </w:r>
      <w:r w:rsidRPr="004971C1">
        <w:rPr>
          <w:sz w:val="20"/>
          <w:szCs w:val="20"/>
        </w:rPr>
        <w:t xml:space="preserve"> property for the mutual benefit of lessor and lessee.  The question of whether, under the circumstances presented by this case, Huddleston or the </w:t>
      </w:r>
      <w:proofErr w:type="spellStart"/>
      <w:r w:rsidRPr="004971C1">
        <w:rPr>
          <w:sz w:val="20"/>
          <w:szCs w:val="20"/>
        </w:rPr>
        <w:t>Camterra</w:t>
      </w:r>
      <w:proofErr w:type="spellEnd"/>
      <w:r w:rsidRPr="004971C1">
        <w:rPr>
          <w:sz w:val="20"/>
          <w:szCs w:val="20"/>
        </w:rPr>
        <w:t xml:space="preserve"> entities breached that duty and, as well, whether the other defendants are liable to plaintiffs</w:t>
      </w:r>
      <w:r w:rsidR="00AE60B6">
        <w:rPr>
          <w:sz w:val="20"/>
          <w:szCs w:val="20"/>
        </w:rPr>
        <w:t xml:space="preserve">, </w:t>
      </w:r>
      <w:r w:rsidRPr="004971C1">
        <w:rPr>
          <w:sz w:val="20"/>
          <w:szCs w:val="20"/>
        </w:rPr>
        <w:t xml:space="preserve">is a task for the jury.  There appears to be a number of good people and businessmen on both sides of this dispute and until a jury determines issues of credibility and good faith versus bad faith, the Court presumes all of the parties to be good people and/or reputable business entities. </w:t>
      </w:r>
    </w:p>
    <w:p w:rsidR="004971C1" w:rsidRPr="004971C1" w:rsidRDefault="004971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DD"/>
    <w:rsid w:val="00041AFD"/>
    <w:rsid w:val="000873F2"/>
    <w:rsid w:val="000C2BC6"/>
    <w:rsid w:val="000E06DD"/>
    <w:rsid w:val="00120D5E"/>
    <w:rsid w:val="00363CB7"/>
    <w:rsid w:val="003F50F9"/>
    <w:rsid w:val="004971C1"/>
    <w:rsid w:val="0054144F"/>
    <w:rsid w:val="006E1D05"/>
    <w:rsid w:val="007A5F7F"/>
    <w:rsid w:val="00AE60B6"/>
    <w:rsid w:val="00B62DAC"/>
    <w:rsid w:val="00BB0816"/>
    <w:rsid w:val="00C207C8"/>
    <w:rsid w:val="00D41F55"/>
    <w:rsid w:val="00D72B14"/>
    <w:rsid w:val="00DE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06DD"/>
    <w:rPr>
      <w:sz w:val="20"/>
      <w:szCs w:val="20"/>
    </w:rPr>
  </w:style>
  <w:style w:type="character" w:customStyle="1" w:styleId="FootnoteTextChar">
    <w:name w:val="Footnote Text Char"/>
    <w:basedOn w:val="DefaultParagraphFont"/>
    <w:link w:val="FootnoteText"/>
    <w:uiPriority w:val="99"/>
    <w:semiHidden/>
    <w:rsid w:val="000E06DD"/>
    <w:rPr>
      <w:sz w:val="20"/>
      <w:szCs w:val="20"/>
    </w:rPr>
  </w:style>
  <w:style w:type="character" w:styleId="FootnoteReference">
    <w:name w:val="footnote reference"/>
    <w:basedOn w:val="DefaultParagraphFont"/>
    <w:uiPriority w:val="99"/>
    <w:semiHidden/>
    <w:unhideWhenUsed/>
    <w:rsid w:val="000E06DD"/>
    <w:rPr>
      <w:vertAlign w:val="superscript"/>
    </w:rPr>
  </w:style>
  <w:style w:type="paragraph" w:styleId="Footer">
    <w:name w:val="footer"/>
    <w:basedOn w:val="Normal"/>
    <w:link w:val="FooterChar"/>
    <w:uiPriority w:val="99"/>
    <w:unhideWhenUsed/>
    <w:rsid w:val="000E06DD"/>
    <w:pPr>
      <w:tabs>
        <w:tab w:val="center" w:pos="4680"/>
        <w:tab w:val="right" w:pos="9360"/>
      </w:tabs>
    </w:pPr>
  </w:style>
  <w:style w:type="character" w:customStyle="1" w:styleId="FooterChar">
    <w:name w:val="Footer Char"/>
    <w:basedOn w:val="DefaultParagraphFont"/>
    <w:link w:val="Footer"/>
    <w:uiPriority w:val="99"/>
    <w:rsid w:val="000E06DD"/>
  </w:style>
  <w:style w:type="paragraph" w:styleId="BalloonText">
    <w:name w:val="Balloon Text"/>
    <w:basedOn w:val="Normal"/>
    <w:link w:val="BalloonTextChar"/>
    <w:uiPriority w:val="99"/>
    <w:semiHidden/>
    <w:unhideWhenUsed/>
    <w:rsid w:val="00D41F55"/>
    <w:rPr>
      <w:rFonts w:ascii="Tahoma" w:hAnsi="Tahoma" w:cs="Tahoma"/>
      <w:sz w:val="16"/>
      <w:szCs w:val="16"/>
    </w:rPr>
  </w:style>
  <w:style w:type="character" w:customStyle="1" w:styleId="BalloonTextChar">
    <w:name w:val="Balloon Text Char"/>
    <w:basedOn w:val="DefaultParagraphFont"/>
    <w:link w:val="BalloonText"/>
    <w:uiPriority w:val="99"/>
    <w:semiHidden/>
    <w:rsid w:val="00D41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06DD"/>
    <w:rPr>
      <w:sz w:val="20"/>
      <w:szCs w:val="20"/>
    </w:rPr>
  </w:style>
  <w:style w:type="character" w:customStyle="1" w:styleId="FootnoteTextChar">
    <w:name w:val="Footnote Text Char"/>
    <w:basedOn w:val="DefaultParagraphFont"/>
    <w:link w:val="FootnoteText"/>
    <w:uiPriority w:val="99"/>
    <w:semiHidden/>
    <w:rsid w:val="000E06DD"/>
    <w:rPr>
      <w:sz w:val="20"/>
      <w:szCs w:val="20"/>
    </w:rPr>
  </w:style>
  <w:style w:type="character" w:styleId="FootnoteReference">
    <w:name w:val="footnote reference"/>
    <w:basedOn w:val="DefaultParagraphFont"/>
    <w:uiPriority w:val="99"/>
    <w:semiHidden/>
    <w:unhideWhenUsed/>
    <w:rsid w:val="000E06DD"/>
    <w:rPr>
      <w:vertAlign w:val="superscript"/>
    </w:rPr>
  </w:style>
  <w:style w:type="paragraph" w:styleId="Footer">
    <w:name w:val="footer"/>
    <w:basedOn w:val="Normal"/>
    <w:link w:val="FooterChar"/>
    <w:uiPriority w:val="99"/>
    <w:unhideWhenUsed/>
    <w:rsid w:val="000E06DD"/>
    <w:pPr>
      <w:tabs>
        <w:tab w:val="center" w:pos="4680"/>
        <w:tab w:val="right" w:pos="9360"/>
      </w:tabs>
    </w:pPr>
  </w:style>
  <w:style w:type="character" w:customStyle="1" w:styleId="FooterChar">
    <w:name w:val="Footer Char"/>
    <w:basedOn w:val="DefaultParagraphFont"/>
    <w:link w:val="Footer"/>
    <w:uiPriority w:val="99"/>
    <w:rsid w:val="000E06DD"/>
  </w:style>
  <w:style w:type="paragraph" w:styleId="BalloonText">
    <w:name w:val="Balloon Text"/>
    <w:basedOn w:val="Normal"/>
    <w:link w:val="BalloonTextChar"/>
    <w:uiPriority w:val="99"/>
    <w:semiHidden/>
    <w:unhideWhenUsed/>
    <w:rsid w:val="00D41F55"/>
    <w:rPr>
      <w:rFonts w:ascii="Tahoma" w:hAnsi="Tahoma" w:cs="Tahoma"/>
      <w:sz w:val="16"/>
      <w:szCs w:val="16"/>
    </w:rPr>
  </w:style>
  <w:style w:type="character" w:customStyle="1" w:styleId="BalloonTextChar">
    <w:name w:val="Balloon Text Char"/>
    <w:basedOn w:val="DefaultParagraphFont"/>
    <w:link w:val="BalloonText"/>
    <w:uiPriority w:val="99"/>
    <w:semiHidden/>
    <w:rsid w:val="00D41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D090-5DD0-40DB-A32E-B4CC1A12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2012-01-31T21:34:00Z</cp:lastPrinted>
  <dcterms:created xsi:type="dcterms:W3CDTF">2012-01-30T16:45:00Z</dcterms:created>
  <dcterms:modified xsi:type="dcterms:W3CDTF">2012-01-31T21:34:00Z</dcterms:modified>
</cp:coreProperties>
</file>